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8" w:rsidRPr="000233B7" w:rsidRDefault="000E3E82" w:rsidP="004261D9">
      <w:pPr>
        <w:pStyle w:val="a3"/>
        <w:spacing w:line="240" w:lineRule="exact"/>
        <w:ind w:right="-307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proofErr w:type="gramStart"/>
      <w:r w:rsidRPr="000233B7">
        <w:rPr>
          <w:rFonts w:ascii="Times New Roman" w:hAnsi="Times New Roman" w:cs="Times New Roman"/>
          <w:b/>
          <w:sz w:val="28"/>
          <w:szCs w:val="24"/>
          <w:lang w:val="en-GB"/>
        </w:rPr>
        <w:t>4</w:t>
      </w:r>
      <w:r w:rsidRPr="000233B7">
        <w:rPr>
          <w:rFonts w:ascii="Times New Roman" w:hAnsi="Times New Roman" w:cs="Times New Roman"/>
          <w:b/>
          <w:sz w:val="28"/>
          <w:szCs w:val="24"/>
          <w:vertAlign w:val="superscript"/>
          <w:lang w:val="en-GB"/>
        </w:rPr>
        <w:t>th</w:t>
      </w:r>
      <w:proofErr w:type="gramEnd"/>
      <w:r w:rsidRPr="000233B7">
        <w:rPr>
          <w:rFonts w:ascii="Times New Roman" w:hAnsi="Times New Roman" w:cs="Times New Roman"/>
          <w:b/>
          <w:sz w:val="28"/>
          <w:szCs w:val="24"/>
          <w:lang w:val="en-GB"/>
        </w:rPr>
        <w:t xml:space="preserve"> CAF-LSE Conference – Globalisation in Crisis: Imp</w:t>
      </w:r>
      <w:r w:rsidR="007B7018" w:rsidRPr="000233B7">
        <w:rPr>
          <w:rFonts w:ascii="Times New Roman" w:hAnsi="Times New Roman" w:cs="Times New Roman"/>
          <w:b/>
          <w:sz w:val="28"/>
          <w:szCs w:val="24"/>
          <w:lang w:val="en-GB"/>
        </w:rPr>
        <w:t>lications for the Global South</w:t>
      </w:r>
    </w:p>
    <w:p w:rsidR="000E3E82" w:rsidRDefault="000E3E82" w:rsidP="004261D9">
      <w:pPr>
        <w:pStyle w:val="a3"/>
        <w:pBdr>
          <w:bottom w:val="single" w:sz="12" w:space="1" w:color="auto"/>
        </w:pBdr>
        <w:spacing w:line="240" w:lineRule="exact"/>
        <w:ind w:right="-30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33B7">
        <w:rPr>
          <w:rFonts w:ascii="Times New Roman" w:hAnsi="Times New Roman" w:cs="Times New Roman"/>
          <w:b/>
          <w:sz w:val="24"/>
          <w:szCs w:val="24"/>
          <w:lang w:val="en-GB"/>
        </w:rPr>
        <w:t>Jan</w:t>
      </w:r>
      <w:r w:rsidR="007B7018" w:rsidRPr="000233B7">
        <w:rPr>
          <w:rFonts w:ascii="Times New Roman" w:hAnsi="Times New Roman" w:cs="Times New Roman"/>
          <w:b/>
          <w:sz w:val="24"/>
          <w:szCs w:val="24"/>
          <w:lang w:val="en-GB"/>
        </w:rPr>
        <w:t>uary 13, 2017, Shaw Library, Old Building, LSE</w:t>
      </w:r>
    </w:p>
    <w:p w:rsidR="000E3E82" w:rsidRPr="000233B7" w:rsidRDefault="000E3E82" w:rsidP="004261D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14EA" w:rsidRPr="00B115D8" w:rsidRDefault="00063CCA" w:rsidP="004261D9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Panel: </w:t>
      </w:r>
      <w:r w:rsidR="000E3E82" w:rsidRPr="00B115D8"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  <w:t>The Role of Development Banks in a Globalised World</w:t>
      </w:r>
    </w:p>
    <w:p w:rsidR="00063CCA" w:rsidRDefault="00063CCA" w:rsidP="00063CC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E3E82" w:rsidRPr="00B115D8" w:rsidRDefault="00063CCA" w:rsidP="00063CC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Intervention by</w:t>
      </w:r>
      <w:r w:rsidR="000E3E82" w:rsidRPr="00B115D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E3E82" w:rsidRPr="00B115D8">
        <w:rPr>
          <w:rFonts w:ascii="Times New Roman" w:hAnsi="Times New Roman" w:cs="Times New Roman"/>
          <w:b/>
          <w:i/>
          <w:sz w:val="24"/>
          <w:szCs w:val="24"/>
          <w:lang w:val="en-GB"/>
        </w:rPr>
        <w:t>Nikolay Kosov</w:t>
      </w:r>
      <w:r w:rsidR="000E3E82" w:rsidRPr="00B115D8">
        <w:rPr>
          <w:rFonts w:ascii="Times New Roman" w:hAnsi="Times New Roman" w:cs="Times New Roman"/>
          <w:i/>
          <w:sz w:val="24"/>
          <w:szCs w:val="24"/>
          <w:lang w:val="en-GB"/>
        </w:rPr>
        <w:t>, Chairman of International Investment Bank (IIB)</w:t>
      </w:r>
    </w:p>
    <w:p w:rsidR="00063CCA" w:rsidRDefault="00063CCA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85B04" w:rsidRDefault="00D85B04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i/>
          <w:sz w:val="24"/>
          <w:szCs w:val="24"/>
          <w:lang w:val="en-GB"/>
        </w:rPr>
        <w:t>Renaissance of MDBs</w:t>
      </w:r>
    </w:p>
    <w:p w:rsidR="00063CCA" w:rsidRDefault="00063CCA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83765" w:rsidRDefault="00713C3A" w:rsidP="00583765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The financial crisis of 2008-9 </w:t>
      </w:r>
      <w:r w:rsidR="00362BA2" w:rsidRPr="00583765">
        <w:rPr>
          <w:rFonts w:ascii="Times New Roman" w:hAnsi="Times New Roman" w:cs="Times New Roman"/>
          <w:sz w:val="24"/>
          <w:szCs w:val="24"/>
          <w:lang w:val="en-GB"/>
        </w:rPr>
        <w:t>and the post-crisis period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have brought a sort of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renaissance for multilateral development banks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, particularly among developing and emerging market countries. </w:t>
      </w:r>
      <w:r w:rsidR="00B115D8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F15A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AB0" w:rsidRPr="00B115D8">
        <w:rPr>
          <w:rFonts w:ascii="Times New Roman" w:hAnsi="Times New Roman" w:cs="Times New Roman"/>
          <w:b/>
          <w:sz w:val="24"/>
          <w:szCs w:val="24"/>
          <w:lang w:val="en-GB"/>
        </w:rPr>
        <w:t>the World Bank</w:t>
      </w:r>
      <w:r w:rsidR="00B115D8" w:rsidRPr="00B115D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continues the search of its new identity</w:t>
      </w:r>
      <w:r w:rsidR="00B115D8">
        <w:rPr>
          <w:rFonts w:ascii="Times New Roman" w:hAnsi="Times New Roman" w:cs="Times New Roman"/>
          <w:sz w:val="24"/>
          <w:szCs w:val="24"/>
          <w:lang w:val="en-GB"/>
        </w:rPr>
        <w:t>, this</w:t>
      </w:r>
      <w:r w:rsidR="00F15AB0" w:rsidRPr="00F15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15D8">
        <w:rPr>
          <w:rFonts w:ascii="Times New Roman" w:hAnsi="Times New Roman" w:cs="Times New Roman"/>
          <w:sz w:val="24"/>
          <w:szCs w:val="24"/>
          <w:lang w:val="en-US"/>
        </w:rPr>
        <w:t xml:space="preserve">trend </w:t>
      </w:r>
      <w:r w:rsidR="00F15AB0">
        <w:rPr>
          <w:rFonts w:ascii="Times New Roman" w:hAnsi="Times New Roman" w:cs="Times New Roman"/>
          <w:sz w:val="24"/>
          <w:szCs w:val="24"/>
          <w:lang w:val="en-US"/>
        </w:rPr>
        <w:t>brought to life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EE7880" w:rsidRPr="00583765">
        <w:rPr>
          <w:rFonts w:ascii="Times New Roman" w:hAnsi="Times New Roman" w:cs="Times New Roman"/>
          <w:b/>
          <w:sz w:val="24"/>
          <w:szCs w:val="24"/>
          <w:lang w:val="en-GB"/>
        </w:rPr>
        <w:t>AIIB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the BRICS’ </w:t>
      </w:r>
      <w:r w:rsidR="00EE7880" w:rsidRPr="00583765">
        <w:rPr>
          <w:rFonts w:ascii="Times New Roman" w:hAnsi="Times New Roman" w:cs="Times New Roman"/>
          <w:b/>
          <w:sz w:val="24"/>
          <w:szCs w:val="24"/>
          <w:lang w:val="en-GB"/>
        </w:rPr>
        <w:t>NDB</w:t>
      </w:r>
      <w:r w:rsidR="00B115D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15D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decision </w:t>
      </w:r>
      <w:r w:rsidR="00B115D8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our own member countries to relaunch the </w:t>
      </w:r>
      <w:r w:rsidR="00EE7880" w:rsidRPr="00583765">
        <w:rPr>
          <w:rFonts w:ascii="Times New Roman" w:hAnsi="Times New Roman" w:cs="Times New Roman"/>
          <w:b/>
          <w:sz w:val="24"/>
          <w:szCs w:val="24"/>
          <w:lang w:val="en-GB"/>
        </w:rPr>
        <w:t>International Investment Bank</w:t>
      </w:r>
      <w:r w:rsidR="00F15A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15D8">
        <w:rPr>
          <w:rFonts w:ascii="Times New Roman" w:hAnsi="Times New Roman" w:cs="Times New Roman"/>
          <w:sz w:val="24"/>
          <w:szCs w:val="24"/>
          <w:lang w:val="en-GB"/>
        </w:rPr>
        <w:t>fits this trend as well. The renewed IIB is</w:t>
      </w:r>
      <w:r w:rsidR="00F15A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7880" w:rsidRPr="0058376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34C69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development bank of</w:t>
      </w:r>
      <w:r w:rsidR="00EE7880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emerging market countries and </w:t>
      </w:r>
      <w:r w:rsidR="00C34C69" w:rsidRPr="00583765">
        <w:rPr>
          <w:rFonts w:ascii="Times New Roman" w:hAnsi="Times New Roman" w:cs="Times New Roman"/>
          <w:sz w:val="24"/>
          <w:szCs w:val="24"/>
          <w:lang w:val="en-GB"/>
        </w:rPr>
        <w:t>thus</w:t>
      </w:r>
      <w:r w:rsidR="00EE7880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7880" w:rsidRPr="00583765">
        <w:rPr>
          <w:rFonts w:ascii="Times New Roman" w:hAnsi="Times New Roman" w:cs="Times New Roman"/>
          <w:b/>
          <w:sz w:val="24"/>
          <w:szCs w:val="24"/>
          <w:lang w:val="en-GB"/>
        </w:rPr>
        <w:t>part of the Global South</w:t>
      </w:r>
      <w:r w:rsidR="00583765"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or a bridge between the </w:t>
      </w:r>
      <w:r w:rsidR="00C34C69" w:rsidRPr="00583765">
        <w:rPr>
          <w:rFonts w:ascii="Times New Roman" w:hAnsi="Times New Roman" w:cs="Times New Roman"/>
          <w:b/>
          <w:sz w:val="24"/>
          <w:szCs w:val="24"/>
          <w:lang w:val="en-GB"/>
        </w:rPr>
        <w:t>South and more developed countries</w:t>
      </w:r>
      <w:r w:rsidR="00EE7880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61D9" w:rsidRPr="00583765" w:rsidRDefault="004261D9" w:rsidP="004261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Pr="00063CCA" w:rsidRDefault="00EE7880" w:rsidP="00200066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>This increased demand for development capit</w:t>
      </w:r>
      <w:r w:rsidR="00362BA2" w:rsidRPr="00063CCA">
        <w:rPr>
          <w:rFonts w:ascii="Times New Roman" w:hAnsi="Times New Roman" w:cs="Times New Roman"/>
          <w:sz w:val="24"/>
          <w:szCs w:val="24"/>
          <w:lang w:val="en-GB"/>
        </w:rPr>
        <w:t>al and the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readiness</w:t>
      </w:r>
      <w:r w:rsidR="00362BA2"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such countries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take leading roles in multilateral institutions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is one of the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outc</w:t>
      </w:r>
      <w:r w:rsidR="00362BA2" w:rsidRPr="00063CCA">
        <w:rPr>
          <w:rFonts w:ascii="Times New Roman" w:hAnsi="Times New Roman" w:cs="Times New Roman"/>
          <w:b/>
          <w:sz w:val="24"/>
          <w:szCs w:val="24"/>
          <w:lang w:val="en-GB"/>
        </w:rPr>
        <w:t>omes of a globalised world and the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quest for possible</w:t>
      </w:r>
      <w:r w:rsidR="00713C3A"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alternatives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 supplements</w:t>
      </w:r>
      <w:r w:rsidR="00713C3A"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traditional </w:t>
      </w:r>
      <w:r w:rsidR="00713C3A"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Bretton Woods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13C3A" w:rsidRPr="00063CCA">
        <w:rPr>
          <w:rFonts w:ascii="Times New Roman" w:hAnsi="Times New Roman" w:cs="Times New Roman"/>
          <w:b/>
          <w:sz w:val="24"/>
          <w:szCs w:val="24"/>
          <w:lang w:val="en-GB"/>
        </w:rPr>
        <w:t>ystem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63CCA" w:rsidRDefault="00063CCA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83765" w:rsidRDefault="00583765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i/>
          <w:sz w:val="24"/>
          <w:szCs w:val="24"/>
          <w:lang w:val="en-GB"/>
        </w:rPr>
        <w:t>General role of MDBs</w:t>
      </w:r>
    </w:p>
    <w:p w:rsidR="004261D9" w:rsidRPr="00583765" w:rsidRDefault="004261D9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83765" w:rsidRDefault="00EE7880" w:rsidP="00583765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fragile growth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, combined with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deleveraging by commercial banks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limited fiscal space for p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>ublic investments</w:t>
      </w:r>
      <w:r w:rsidR="006D1FA4" w:rsidRPr="0058376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has underlined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importance of MDBs not just simply as an additio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nal source of </w:t>
      </w:r>
      <w:r w:rsidR="00F15AB0">
        <w:rPr>
          <w:rFonts w:ascii="Times New Roman" w:hAnsi="Times New Roman" w:cs="Times New Roman"/>
          <w:b/>
          <w:sz w:val="24"/>
          <w:szCs w:val="24"/>
          <w:lang w:val="en-GB"/>
        </w:rPr>
        <w:t>funding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but </w:t>
      </w:r>
      <w:r w:rsidRPr="00583765">
        <w:rPr>
          <w:rFonts w:ascii="Times New Roman" w:hAnsi="Times New Roman" w:cs="Times New Roman"/>
          <w:b/>
          <w:sz w:val="24"/>
          <w:szCs w:val="24"/>
          <w:lang w:val="en-GB"/>
        </w:rPr>
        <w:t>as catalysers, advisers and, in a way, market makers</w:t>
      </w:r>
      <w:r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The unique character of </w:t>
      </w:r>
      <w:r w:rsidR="006D1FA4" w:rsidRPr="00583765">
        <w:rPr>
          <w:rFonts w:ascii="Times New Roman" w:hAnsi="Times New Roman" w:cs="Times New Roman"/>
          <w:sz w:val="24"/>
          <w:szCs w:val="24"/>
          <w:lang w:val="en-GB"/>
        </w:rPr>
        <w:t>MDBs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predetermines their operations – they are here 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>to fill the investment gap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>address underserved sectors economy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62BA2" w:rsidRPr="00583765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298A" w:rsidRPr="00583765">
        <w:rPr>
          <w:rFonts w:ascii="Times New Roman" w:hAnsi="Times New Roman" w:cs="Times New Roman"/>
          <w:b/>
          <w:sz w:val="24"/>
          <w:szCs w:val="24"/>
          <w:lang w:val="en-GB"/>
        </w:rPr>
        <w:t>SMEs and their internationalisation</w:t>
      </w:r>
      <w:r w:rsidR="0085298A" w:rsidRPr="00583765">
        <w:rPr>
          <w:rFonts w:ascii="Times New Roman" w:hAnsi="Times New Roman" w:cs="Times New Roman"/>
          <w:sz w:val="24"/>
          <w:szCs w:val="24"/>
          <w:lang w:val="en-GB"/>
        </w:rPr>
        <w:t xml:space="preserve">, as these companies have not enjoyed the fruits of globalisation as much as large corporates. </w:t>
      </w:r>
    </w:p>
    <w:p w:rsidR="004261D9" w:rsidRPr="00583765" w:rsidRDefault="004261D9" w:rsidP="004261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3CCA" w:rsidRPr="00063CCA" w:rsidRDefault="006D1FA4" w:rsidP="00B55B4F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Furthermore, the world is facing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significant social and environmental challenges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, and MDBs as quasi-public entities with cross-bor</w:t>
      </w:r>
      <w:r w:rsidR="00362BA2" w:rsidRPr="00063CCA">
        <w:rPr>
          <w:rFonts w:ascii="Times New Roman" w:hAnsi="Times New Roman" w:cs="Times New Roman"/>
          <w:sz w:val="24"/>
          <w:szCs w:val="24"/>
          <w:lang w:val="en-GB"/>
        </w:rPr>
        <w:t>der reach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and a developmental mission, under which profit is not the main target, are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especially well positioned to address modern problems such as protection of water resources, which often span across several countries or regions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63CCA" w:rsidRPr="00063CCA" w:rsidRDefault="00063CCA" w:rsidP="00063CCA">
      <w:pPr>
        <w:pStyle w:val="a4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83765" w:rsidRPr="00063CCA" w:rsidRDefault="00583765" w:rsidP="00063C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i/>
          <w:sz w:val="24"/>
          <w:szCs w:val="24"/>
          <w:lang w:val="en-GB"/>
        </w:rPr>
        <w:t>Role of MDBs in</w:t>
      </w:r>
      <w:r w:rsidR="004261D9" w:rsidRPr="00063CC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</w:t>
      </w:r>
      <w:r w:rsidRPr="00063CCA">
        <w:rPr>
          <w:rFonts w:ascii="Times New Roman" w:hAnsi="Times New Roman" w:cs="Times New Roman"/>
          <w:i/>
          <w:sz w:val="24"/>
          <w:szCs w:val="24"/>
          <w:lang w:val="en-GB"/>
        </w:rPr>
        <w:t>international trade</w:t>
      </w:r>
    </w:p>
    <w:p w:rsidR="004261D9" w:rsidRPr="00583765" w:rsidRDefault="004261D9" w:rsidP="00C971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83765" w:rsidRDefault="00C9716A" w:rsidP="00E85E7B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Furthermore, particularly in a situation of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spreading anti-globalisation sentiment</w:t>
      </w:r>
      <w:r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risks for international trade</w:t>
      </w:r>
      <w:r w:rsidRPr="00E85E7B"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evelopment banks play a </w:t>
      </w:r>
      <w:r w:rsidR="00681E9F" w:rsidRPr="00F15AB0">
        <w:rPr>
          <w:rFonts w:ascii="Times New Roman" w:hAnsi="Times New Roman" w:cs="Times New Roman"/>
          <w:b/>
          <w:sz w:val="24"/>
          <w:szCs w:val="24"/>
          <w:lang w:val="en-GB"/>
        </w:rPr>
        <w:t>cri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tical role in the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support for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exports and imports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owing to their 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ability </w:t>
      </w:r>
      <w:proofErr w:type="gramStart"/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>to easily open</w:t>
      </w:r>
      <w:proofErr w:type="gramEnd"/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financial limits with counterparties across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the globe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 and a 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>more flexible approach to geographic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asset allocation</w:t>
      </w:r>
      <w:r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>particularly true in a world of growing banking regulation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, which too often has the 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unintended consequence of causing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commercial 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>banks to reduce non-core geographies and thus limits or removes their abilit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y</w:t>
      </w:r>
      <w:r w:rsidR="00681E9F"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offer such services</w:t>
      </w:r>
      <w:r w:rsidR="00681E9F" w:rsidRPr="00E85E7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85B04" w:rsidRPr="00E85E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261D9" w:rsidRPr="00E85E7B" w:rsidRDefault="004261D9" w:rsidP="004261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Pr="00063CCA" w:rsidRDefault="00D85B04" w:rsidP="00101030">
      <w:pPr>
        <w:pStyle w:val="a4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Talking about trade and international business,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companies from developing and emerging market countries can often hav</w:t>
      </w:r>
      <w:r w:rsidR="00E85E7B" w:rsidRPr="00063CCA">
        <w:rPr>
          <w:rFonts w:ascii="Times New Roman" w:hAnsi="Times New Roman" w:cs="Times New Roman"/>
          <w:b/>
          <w:sz w:val="24"/>
          <w:szCs w:val="24"/>
          <w:lang w:val="en-GB"/>
        </w:rPr>
        <w:t>e it more difficult to expand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internationally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MDBs can be helpful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in this regard. Their international character and widespread use of technical assistance also </w:t>
      </w:r>
      <w:r w:rsidR="00E85E7B" w:rsidRPr="00063CCA">
        <w:rPr>
          <w:rFonts w:ascii="Times New Roman" w:hAnsi="Times New Roman" w:cs="Times New Roman"/>
          <w:b/>
          <w:sz w:val="24"/>
          <w:szCs w:val="24"/>
          <w:lang w:val="en-GB"/>
        </w:rPr>
        <w:t>greatly contribute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the sharing of </w:t>
      </w:r>
      <w:proofErr w:type="gramStart"/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know-how</w:t>
      </w:r>
      <w:proofErr w:type="gramEnd"/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technologies across borders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63CCA" w:rsidRPr="00063CCA" w:rsidRDefault="00063CCA" w:rsidP="00063CCA">
      <w:pPr>
        <w:pStyle w:val="a4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261D9" w:rsidRDefault="004261D9" w:rsidP="004261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261D9">
        <w:rPr>
          <w:rFonts w:ascii="Times New Roman" w:hAnsi="Times New Roman" w:cs="Times New Roman"/>
          <w:i/>
          <w:sz w:val="24"/>
          <w:szCs w:val="24"/>
          <w:lang w:val="en-GB"/>
        </w:rPr>
        <w:t>Problems of financial regulation</w:t>
      </w:r>
    </w:p>
    <w:p w:rsidR="004261D9" w:rsidRPr="004261D9" w:rsidRDefault="004261D9" w:rsidP="004261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261D9" w:rsidRDefault="004261D9" w:rsidP="004261D9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Having mentioned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SMEs, these are often a core driver of economic development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 – however, in the current circumstance we are witnessing how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sector </w:t>
      </w:r>
      <w:proofErr w:type="gramStart"/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is being pushed out</w:t>
      </w:r>
      <w:proofErr w:type="gramEnd"/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the “lending periphery” of commercial banking due to stricter Basel III requirements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 and the overall deleveraging by commercial banks.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Financial regulation may have gone too far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, bringing us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unintended consequences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for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whole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economy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. While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MDBs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including the IIB, 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>are partially mitigating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this situation through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risk-sharing</w:t>
      </w:r>
      <w:proofErr w:type="gramEnd"/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other measures that encourage</w:t>
      </w:r>
      <w:r w:rsidRPr="00E85E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private sector to invest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, overall the situation is difficult. </w:t>
      </w: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E47618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Modern financial regulation has led to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 approach to risks, which is detrimental to the support for developmental projects 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whose social or environmental impact goes far beyond any financial returns and which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make the standard risk/return approach irrelevant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not to follow this approach usually means worse assessments by rating agencies, lower credit ratings and decreased ability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to do what MDBs are supposed to do.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Paradoxically, the environmentally or socially most important projects may end up not being financed at all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, as either the risk is too high for the lender or the cost for the borrower.</w:t>
      </w:r>
    </w:p>
    <w:p w:rsidR="00063CCA" w:rsidRDefault="00063CCA" w:rsidP="00063CCA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i/>
          <w:sz w:val="24"/>
          <w:szCs w:val="24"/>
          <w:lang w:val="en-GB"/>
        </w:rPr>
        <w:t>Need for a change in rating methodologies for MDBs</w:t>
      </w:r>
    </w:p>
    <w:p w:rsidR="004261D9" w:rsidRPr="00583765" w:rsidRDefault="004261D9" w:rsidP="00426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261D9" w:rsidRDefault="004261D9" w:rsidP="004261D9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needs to be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fundamental change in such approach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 and I am convinced such change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should be brought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about by MDBs, particularly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those of the Global South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, which more often do not enjoy AAA ratings given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others 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by the sheer force of their strong sponsors. There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need to be changes in credit agencies’ methodologies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 – while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all MDBs should have higher ratings by default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, given the character of their shareholders,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they face even with stricter criteria by the agencies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4261D9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3B7">
        <w:rPr>
          <w:rFonts w:ascii="Times New Roman" w:hAnsi="Times New Roman" w:cs="Times New Roman"/>
          <w:sz w:val="24"/>
          <w:szCs w:val="24"/>
          <w:lang w:val="en-GB"/>
        </w:rPr>
        <w:t xml:space="preserve">hese </w:t>
      </w:r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methodologies often put significant weight on assessments, which </w:t>
      </w:r>
      <w:proofErr w:type="gramStart"/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>are little related</w:t>
      </w:r>
      <w:proofErr w:type="gramEnd"/>
      <w:r w:rsidRPr="007E2F4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the actual ability to settle the institution’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 obligations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In its analysis, Moody’s underlines “strengthening of organisational structures” and S&amp;P emphasizes “institutional assessment”. Furthermore, while a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key factor should be the level of risk-adjusted capital adequacy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 simple comparison reveals that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AAA-rated banks have much lower capital adequacy than MDBs with a BBB rating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62586F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I have been promoting the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idea of a concerted effort by MDBs towards rating agencies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 among some of our partners, even in the form of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a joint working group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, and the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IIB </w:t>
      </w:r>
      <w:proofErr w:type="gramStart"/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is also</w:t>
      </w:r>
      <w:proofErr w:type="gramEnd"/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very supportive in relation to the possible creation of a BRICS’ rating agency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63CCA" w:rsidRDefault="00063CCA" w:rsidP="00063CCA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3765">
        <w:rPr>
          <w:rFonts w:ascii="Times New Roman" w:hAnsi="Times New Roman" w:cs="Times New Roman"/>
          <w:i/>
          <w:sz w:val="24"/>
          <w:szCs w:val="24"/>
          <w:lang w:val="en-GB"/>
        </w:rPr>
        <w:t>Call for increased cooperation between MDBs</w:t>
      </w:r>
    </w:p>
    <w:p w:rsidR="004261D9" w:rsidRPr="00583765" w:rsidRDefault="004261D9" w:rsidP="004261D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261D9" w:rsidRDefault="004261D9" w:rsidP="004261D9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IFIs should cooperate more often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Development of a partnership network with other MDBs has been one of the pillars of the renewed IIB’s activities, and, in four years,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we have already approved joint projects with BSTDB, EBRD, EDB, EIF, IFC, NDB and others in more than half of our member countries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I am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more than happy to be in the same panel with President Garcia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 this year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CAF has joined the number of our partners and we intend to work together very closely in the unique country of Cuba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61D9" w:rsidRDefault="004261D9" w:rsidP="004261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61D9" w:rsidRDefault="004261D9" w:rsidP="004261D9">
      <w:pPr>
        <w:pStyle w:val="a3"/>
        <w:numPr>
          <w:ilvl w:val="0"/>
          <w:numId w:val="6"/>
        </w:numPr>
        <w:ind w:left="0" w:hanging="27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Still, there is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potential for much more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Collaboration on capital markets and mutual participation in bond placements could have a multiplying effect on IFIs’ capacity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Such </w:t>
      </w:r>
      <w:proofErr w:type="gramStart"/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cross-funding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could lead to a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more effect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ive use of their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resources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would represents an </w:t>
      </w:r>
      <w:r w:rsidRPr="00A052DE">
        <w:rPr>
          <w:rFonts w:ascii="Times New Roman" w:hAnsi="Times New Roman" w:cs="Times New Roman"/>
          <w:b/>
          <w:sz w:val="24"/>
          <w:szCs w:val="24"/>
          <w:lang w:val="en-GB"/>
        </w:rPr>
        <w:t>additional boost to the support for local capital markets in less developed countries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61D9" w:rsidRDefault="004261D9" w:rsidP="004261D9">
      <w:pPr>
        <w:pStyle w:val="a4"/>
        <w:rPr>
          <w:rFonts w:ascii="Times New Roman" w:hAnsi="Times New Roman" w:cs="Times New Roman"/>
          <w:sz w:val="24"/>
          <w:szCs w:val="24"/>
          <w:lang w:val="en-GB"/>
        </w:rPr>
      </w:pPr>
    </w:p>
    <w:p w:rsidR="00063CCA" w:rsidRPr="00063CCA" w:rsidRDefault="004261D9" w:rsidP="00152692">
      <w:pPr>
        <w:pStyle w:val="a3"/>
        <w:numPr>
          <w:ilvl w:val="0"/>
          <w:numId w:val="6"/>
        </w:numPr>
        <w:spacing w:line="240" w:lineRule="auto"/>
        <w:ind w:left="0" w:hanging="27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IFIs have an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important role to play in developing the local financial infrastructure, even more so in a globalised, decentralised world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. The IIB is following a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strategy of local bond placements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 xml:space="preserve">, under which our 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>successful bond issues in Romania, Slovakia and Russia have brought positive developments to these markets</w:t>
      </w:r>
      <w:r w:rsidRPr="00063CCA">
        <w:rPr>
          <w:rFonts w:ascii="Times New Roman" w:hAnsi="Times New Roman" w:cs="Times New Roman"/>
          <w:sz w:val="24"/>
          <w:szCs w:val="24"/>
          <w:lang w:val="en-GB"/>
        </w:rPr>
        <w:t>, particularly in Romania, where our two placements received awards by the Romanian Stockbrokers’ Association. I</w:t>
      </w:r>
      <w:r w:rsidRPr="00063C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call on other IFIs to support these activities and we are ready to support theirs.</w:t>
      </w:r>
    </w:p>
    <w:p w:rsidR="00063CCA" w:rsidRDefault="00063CCA" w:rsidP="00063CCA">
      <w:pPr>
        <w:pStyle w:val="a4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362BA2" w:rsidRDefault="00362BA2" w:rsidP="00C97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CC68EB" w:rsidRPr="000233B7" w:rsidRDefault="00CC68EB" w:rsidP="00C97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C68EB" w:rsidRPr="000233B7" w:rsidRDefault="00CC68EB" w:rsidP="00C97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C68EB" w:rsidRPr="000233B7" w:rsidSect="00063CCA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452C"/>
    <w:multiLevelType w:val="multilevel"/>
    <w:tmpl w:val="CB02C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5720B"/>
    <w:multiLevelType w:val="multilevel"/>
    <w:tmpl w:val="BBD8F4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5D668F"/>
    <w:multiLevelType w:val="hybridMultilevel"/>
    <w:tmpl w:val="7B5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34F4"/>
    <w:multiLevelType w:val="multilevel"/>
    <w:tmpl w:val="5F1AE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1A1F94"/>
    <w:multiLevelType w:val="hybridMultilevel"/>
    <w:tmpl w:val="F66C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1787"/>
    <w:multiLevelType w:val="hybridMultilevel"/>
    <w:tmpl w:val="9814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2"/>
    <w:rsid w:val="00020133"/>
    <w:rsid w:val="000233B7"/>
    <w:rsid w:val="00063CCA"/>
    <w:rsid w:val="000E3E82"/>
    <w:rsid w:val="00291644"/>
    <w:rsid w:val="002E52E2"/>
    <w:rsid w:val="00343C71"/>
    <w:rsid w:val="00362BA2"/>
    <w:rsid w:val="004261D9"/>
    <w:rsid w:val="00556365"/>
    <w:rsid w:val="00583765"/>
    <w:rsid w:val="00681E9F"/>
    <w:rsid w:val="006D1FA4"/>
    <w:rsid w:val="006F6443"/>
    <w:rsid w:val="00713C3A"/>
    <w:rsid w:val="007756AD"/>
    <w:rsid w:val="007A7927"/>
    <w:rsid w:val="007B7018"/>
    <w:rsid w:val="007E2F45"/>
    <w:rsid w:val="0085298A"/>
    <w:rsid w:val="008C61F6"/>
    <w:rsid w:val="008E1004"/>
    <w:rsid w:val="00A052DE"/>
    <w:rsid w:val="00B115D8"/>
    <w:rsid w:val="00B662E4"/>
    <w:rsid w:val="00BF7B7E"/>
    <w:rsid w:val="00C34C69"/>
    <w:rsid w:val="00C9716A"/>
    <w:rsid w:val="00CB2EC3"/>
    <w:rsid w:val="00CC68EB"/>
    <w:rsid w:val="00D85B04"/>
    <w:rsid w:val="00DF7A40"/>
    <w:rsid w:val="00E74CE6"/>
    <w:rsid w:val="00E85E7B"/>
    <w:rsid w:val="00EC4D31"/>
    <w:rsid w:val="00EE7880"/>
    <w:rsid w:val="00F054DF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E47-16C5-4A8B-8B55-625317D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82"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4">
    <w:name w:val="List Paragraph"/>
    <w:basedOn w:val="a"/>
    <w:uiPriority w:val="34"/>
    <w:qFormat/>
    <w:rsid w:val="0058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Kosina</dc:creator>
  <cp:keywords/>
  <dc:description/>
  <cp:lastModifiedBy>Potapov Georgy</cp:lastModifiedBy>
  <cp:revision>4</cp:revision>
  <dcterms:created xsi:type="dcterms:W3CDTF">2016-12-26T16:19:00Z</dcterms:created>
  <dcterms:modified xsi:type="dcterms:W3CDTF">2017-01-17T15:57:00Z</dcterms:modified>
</cp:coreProperties>
</file>